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danych Netsprint Audience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Netsprint Audience, największej w Polsce platformie DMP (Data Management Platform) nieustannie wprowadzane są zmiany ułatwiające realizację kampanii online marketingowych oraz podnoszące ich skuteczność.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ekspertów Grupy Netsprint przebadał dane Netsprint Audience narzędziem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Nielsen Digital Ad Ratings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porównał je do europejskich benchmarków z 2018 r. dotyczących desktopu publikowanych przez Nielsen. Badając, skupiono się na trzech grupach: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Demografia Twarda</w:t>
      </w:r>
      <w:r>
        <w:rPr>
          <w:rFonts w:ascii="calibri" w:hAnsi="calibri" w:eastAsia="calibri" w:cs="calibri"/>
          <w:sz w:val="24"/>
          <w:szCs w:val="24"/>
        </w:rPr>
        <w:t xml:space="preserve"> - dane deklaratywne pozyskiwane od wyselekcjonowanych dostawców;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Demografia Wnioskowana</w:t>
      </w:r>
      <w:r>
        <w:rPr>
          <w:rFonts w:ascii="calibri" w:hAnsi="calibri" w:eastAsia="calibri" w:cs="calibri"/>
          <w:sz w:val="24"/>
          <w:szCs w:val="24"/>
        </w:rPr>
        <w:t xml:space="preserve"> - profile zasięgowe do 52 mln UU bazujące na modelowaniu machine learning;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Demografia Wnioskowana Premium</w:t>
      </w:r>
      <w:r>
        <w:rPr>
          <w:rFonts w:ascii="calibri" w:hAnsi="calibri" w:eastAsia="calibri" w:cs="calibri"/>
          <w:sz w:val="24"/>
          <w:szCs w:val="24"/>
        </w:rPr>
        <w:t xml:space="preserve"> - profile zasięgowe do 25 mln UU bazujące na modelowaniu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wynikło z badania?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Trafność danych Netsprint Audience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o 6 punktów procentowych</w:t>
      </w:r>
      <w:r>
        <w:rPr>
          <w:rFonts w:ascii="calibri" w:hAnsi="calibri" w:eastAsia="calibri" w:cs="calibri"/>
          <w:sz w:val="24"/>
          <w:szCs w:val="24"/>
        </w:rPr>
        <w:t xml:space="preserve"> w stosunku do weryfikacji przeprowadzonej w pierwszym kwartale 2018 r. Poziom On-Target profili demograficznych Netsprint Audience jest w większości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wyższy niż średnia europejska</w:t>
      </w:r>
      <w:r>
        <w:rPr>
          <w:rFonts w:ascii="calibri" w:hAnsi="calibri" w:eastAsia="calibri" w:cs="calibri"/>
          <w:sz w:val="24"/>
          <w:szCs w:val="24"/>
        </w:rPr>
        <w:t xml:space="preserve"> dla desktopu wynikająca z raportu “Nielsen Digital Ad Ratings Benchmarks and Findings Through Europe” (Q3 2018). Szczegółowe wyniki badania znajdują się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wynik to efekt </w:t>
      </w:r>
      <w:r>
        <w:rPr>
          <w:rFonts w:ascii="calibri" w:hAnsi="calibri" w:eastAsia="calibri" w:cs="calibri"/>
          <w:sz w:val="24"/>
          <w:szCs w:val="24"/>
          <w:b/>
        </w:rPr>
        <w:t xml:space="preserve">wytężonej pracy data scientists z Grupy Netsprint</w:t>
      </w:r>
      <w:r>
        <w:rPr>
          <w:rFonts w:ascii="calibri" w:hAnsi="calibri" w:eastAsia="calibri" w:cs="calibri"/>
          <w:sz w:val="24"/>
          <w:szCs w:val="24"/>
        </w:rPr>
        <w:t xml:space="preserve">, którzy udoskonalili algorytmy odpowiadające za proces tworzenia Demografii Wnioskowanej. Mówiąc konkretnie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 najszerszych wolumenach zmiana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12 punktów procentowych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w poprawie jakości danych pomogła regulacja RODO. Dokładnie ta sama, której w ubiegłym roku wszyscy mieli już dość. Dzięki wdrożeniu RODO Grupa Netsprint jest w stanie lepiej kontrolować ruch od dostawców.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elsen.com/pl/pl/solutions/capabilities/digital-ad-ratings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2025-12-22T17:58:48+01:00</dcterms:created>
  <dcterms:modified xsi:type="dcterms:W3CDTF">2025-12-22T17:58:48+01:00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