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Zmiana na stanowisku prezesa zarządu Grupy Netsprint</w:t>
      </w:r>
    </w:p>
    <w:p>
      <w:pPr>
        <w:spacing w:before="0" w:after="500" w:line="264" w:lineRule="auto"/>
      </w:pPr>
      <w:r>
        <w:rPr>
          <w:rFonts w:ascii="calibri" w:hAnsi="calibri" w:eastAsia="calibri" w:cs="calibri"/>
          <w:sz w:val="36"/>
          <w:szCs w:val="36"/>
          <w:b/>
        </w:rPr>
        <w:t xml:space="preserve">Grupa Netsprint, lider polskiej branży marketingu online, specjalizujący się w usługach dla reklamodawców i wydawców internetowych, dokonuje zmian w kierownictwie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momentu powołania nowego, stałego prezesa Grupy Netsprint, rolę </w:t>
      </w:r>
      <w:r>
        <w:rPr>
          <w:rFonts w:ascii="calibri" w:hAnsi="calibri" w:eastAsia="calibri" w:cs="calibri"/>
          <w:sz w:val="24"/>
          <w:szCs w:val="24"/>
          <w:i/>
          <w:iCs/>
        </w:rPr>
        <w:t xml:space="preserve">interim CEO </w:t>
      </w:r>
      <w:r>
        <w:rPr>
          <w:rFonts w:ascii="calibri" w:hAnsi="calibri" w:eastAsia="calibri" w:cs="calibri"/>
          <w:sz w:val="24"/>
          <w:szCs w:val="24"/>
        </w:rPr>
        <w:t xml:space="preserve">będzie pełnić Agata Lauko, dotychczasowa prezes Netsprint SA, spółki wchodzącej w skład Grupy. Będzie ona pełnić funkcję </w:t>
      </w:r>
      <w:r>
        <w:rPr>
          <w:rFonts w:ascii="calibri" w:hAnsi="calibri" w:eastAsia="calibri" w:cs="calibri"/>
          <w:sz w:val="24"/>
          <w:szCs w:val="24"/>
          <w:i/>
          <w:iCs/>
        </w:rPr>
        <w:t xml:space="preserve">interim CEO</w:t>
      </w:r>
      <w:r>
        <w:rPr>
          <w:rFonts w:ascii="calibri" w:hAnsi="calibri" w:eastAsia="calibri" w:cs="calibri"/>
          <w:sz w:val="24"/>
          <w:szCs w:val="24"/>
        </w:rPr>
        <w:t xml:space="preserve"> Grupy Netsprint do 20. czerwca 2019 r. Jednocześnie rolę </w:t>
      </w:r>
      <w:r>
        <w:rPr>
          <w:rFonts w:ascii="calibri" w:hAnsi="calibri" w:eastAsia="calibri" w:cs="calibri"/>
          <w:sz w:val="24"/>
          <w:szCs w:val="24"/>
          <w:i/>
          <w:iCs/>
        </w:rPr>
        <w:t xml:space="preserve">acting chairman </w:t>
      </w:r>
      <w:r>
        <w:rPr>
          <w:rFonts w:ascii="calibri" w:hAnsi="calibri" w:eastAsia="calibri" w:cs="calibri"/>
          <w:sz w:val="24"/>
          <w:szCs w:val="24"/>
        </w:rPr>
        <w:t xml:space="preserve">Grupy Netsprint przejmuje Łukasz Wejchert, założyciel holdingu Dirlango, jednego z właścicieli Grupy Netsprint. Łukasz Wejchert będzie wspierał operacyjną działalność Grupy. Po 20. czerwca zostanie powołany nowy, stały prezes zarządu Grupy Netsprint.</w:t>
      </w:r>
    </w:p>
    <w:p>
      <w:pPr>
        <w:spacing w:before="0" w:after="300"/>
      </w:pPr>
      <w:r>
        <w:rPr>
          <w:rFonts w:ascii="calibri" w:hAnsi="calibri" w:eastAsia="calibri" w:cs="calibri"/>
          <w:sz w:val="24"/>
          <w:szCs w:val="24"/>
          <w:i/>
          <w:iCs/>
        </w:rPr>
        <w:t xml:space="preserve">- Wspieramy strategię, którą obrała Grupa Netsprint. Poprzednia prezes zarządu, Monika Bronowska, przeprowadziła organizację przez okres kluczowych zmian i optymalizacji procesów. Wymagał on trudnych decyzji i ciężkiej pracy, za którą jesteśmy wdzięczni</w:t>
      </w:r>
      <w:r>
        <w:rPr>
          <w:rFonts w:ascii="calibri" w:hAnsi="calibri" w:eastAsia="calibri" w:cs="calibri"/>
          <w:sz w:val="24"/>
          <w:szCs w:val="24"/>
        </w:rPr>
        <w:t xml:space="preserve"> – powiedział Łukasz Wejchert.</w:t>
      </w:r>
    </w:p>
    <w:p>
      <w:pPr>
        <w:spacing w:before="0" w:after="300"/>
      </w:pPr>
      <w:r>
        <w:rPr>
          <w:rFonts w:ascii="calibri" w:hAnsi="calibri" w:eastAsia="calibri" w:cs="calibri"/>
          <w:sz w:val="24"/>
          <w:szCs w:val="24"/>
        </w:rPr>
        <w:t xml:space="preserve">Magdalena Magnuszewska, partner w funduszu Innova Capital, który jest drugim z właścicieli Grupy Netsprint, dodała: </w:t>
      </w:r>
      <w:r>
        <w:rPr>
          <w:rFonts w:ascii="calibri" w:hAnsi="calibri" w:eastAsia="calibri" w:cs="calibri"/>
          <w:sz w:val="24"/>
          <w:szCs w:val="24"/>
          <w:i/>
          <w:iCs/>
        </w:rPr>
        <w:t xml:space="preserve">- Zakończyliśmy kluczowy etap restrukturyzacji. Grupa Netsprint skupi się teraz na działalności operacyjnej i realizacji ogłoszonej w 2018 r. strategii i taktycznych celach biznesowych.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O Grupie Netsprint:</w:t>
      </w:r>
    </w:p>
    <w:p>
      <w:pPr>
        <w:spacing w:before="0" w:after="300"/>
      </w:pPr>
      <w:hyperlink r:id="rId7" w:history="1">
        <w:r>
          <w:rPr>
            <w:rFonts w:ascii="calibri" w:hAnsi="calibri" w:eastAsia="calibri" w:cs="calibri"/>
            <w:color w:val="0000FF"/>
            <w:sz w:val="24"/>
            <w:szCs w:val="24"/>
            <w:u w:val="single"/>
          </w:rPr>
          <w:t xml:space="preserve">Grupa Netsprint</w:t>
        </w:r>
      </w:hyperlink>
      <w:r>
        <w:rPr>
          <w:rFonts w:ascii="calibri" w:hAnsi="calibri" w:eastAsia="calibri" w:cs="calibri"/>
          <w:sz w:val="24"/>
          <w:szCs w:val="24"/>
        </w:rPr>
        <w:t xml:space="preserve"> to lider branży marketingu online w Polsce, wyspecjalizowany w usługach dla reklamodawców i wydawców internetowych, w szczególności monetyzacji, optymalizacji i dostarczaniu popytu w oparciu o dane. </w:t>
      </w:r>
    </w:p>
    <w:p>
      <w:pPr>
        <w:spacing w:before="0" w:after="300"/>
      </w:pPr>
      <w:r>
        <w:rPr>
          <w:rFonts w:ascii="calibri" w:hAnsi="calibri" w:eastAsia="calibri" w:cs="calibri"/>
          <w:sz w:val="24"/>
          <w:szCs w:val="24"/>
        </w:rPr>
        <w:t xml:space="preserve">Na Grupę Netsprint składają się spółki Adrino, LeadR, Email Network, Netsprint, Whitepress, oraz, od 2018 r., Way To Grow. Poszczególne spółki reprezentują zróżnicowany miks kompetencji, które obejmują m.in. optymalizację powierzchni reklamowych, formaty rich media na platformach mobilnych, data science, big data, monetyzację baz danych, content marketing oraz formaty reklamy natywnej. </w:t>
      </w:r>
    </w:p>
    <w:p>
      <w:pPr>
        <w:spacing w:before="0" w:after="300"/>
      </w:pPr>
      <w:r>
        <w:rPr>
          <w:rFonts w:ascii="calibri" w:hAnsi="calibri" w:eastAsia="calibri" w:cs="calibri"/>
          <w:sz w:val="24"/>
          <w:szCs w:val="24"/>
          <w:b/>
        </w:rPr>
        <w:t xml:space="preserve">O Dirlango:</w:t>
      </w:r>
    </w:p>
    <w:p>
      <w:pPr>
        <w:spacing w:before="0" w:after="300"/>
      </w:pPr>
      <w:hyperlink r:id="rId8" w:history="1">
        <w:r>
          <w:rPr>
            <w:rFonts w:ascii="calibri" w:hAnsi="calibri" w:eastAsia="calibri" w:cs="calibri"/>
            <w:color w:val="0000FF"/>
            <w:sz w:val="24"/>
            <w:szCs w:val="24"/>
            <w:u w:val="single"/>
          </w:rPr>
          <w:t xml:space="preserve">Dirlango</w:t>
        </w:r>
      </w:hyperlink>
      <w:r>
        <w:rPr>
          <w:rFonts w:ascii="calibri" w:hAnsi="calibri" w:eastAsia="calibri" w:cs="calibri"/>
          <w:sz w:val="24"/>
          <w:szCs w:val="24"/>
        </w:rPr>
        <w:t xml:space="preserve"> to holding inwestujący i budujący spółki technologiczne, koncentrujący się w szczególności na sektorach technologii marketingu online/offline, big data oraz mobility. Od 2018 r. obok Dirlango powstał też fundusz Dirlango Tech FIZAN, inwestujący w spółki w fazie wzrostu w Polsce i za granicą. W portfelu Grupy Dirlango są takie podmioty jak Grupa Netsprint, iTaxi, Grupa Justtag.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Innova Capital: </w:t>
      </w:r>
    </w:p>
    <w:p>
      <w:pPr>
        <w:spacing w:before="0" w:after="300"/>
      </w:pPr>
      <w:hyperlink r:id="rId9" w:history="1">
        <w:r>
          <w:rPr>
            <w:rFonts w:ascii="calibri" w:hAnsi="calibri" w:eastAsia="calibri" w:cs="calibri"/>
            <w:color w:val="0000FF"/>
            <w:sz w:val="24"/>
            <w:szCs w:val="24"/>
            <w:u w:val="single"/>
          </w:rPr>
          <w:t xml:space="preserve">Innova Capital</w:t>
        </w:r>
      </w:hyperlink>
      <w:r>
        <w:rPr>
          <w:rFonts w:ascii="calibri" w:hAnsi="calibri" w:eastAsia="calibri" w:cs="calibri"/>
          <w:sz w:val="24"/>
          <w:szCs w:val="24"/>
        </w:rPr>
        <w:t xml:space="preserve"> jest wiodącym funduszem private equity w Europie Centralnej, specjalizującym się w wykupie spółek średniej wielkości. Od momentu rozpoczęcia działalności w 1994 r. do chwili obecnej Innova zainwestowała blisko 860 mln EUR w 50 przedsiębiorstw działających w 10 krajach regionu. W 2010 roku Innova otrzymała za swój piąty fundusz Innova/5 nagrodę “CEE Fund of the Year Award” przyznawaną przez magazyn Unquote. Jury piątej edycji konkursu “Diamenty Private Equity” pod patronatem Polskiego Stowarzyszenia Inwestorów Kapitałowych przyznało Innovie w 2016 roku nagrody w następujących kategoriach: spółka portfelowa PE roku 2015 (Grupa Wirtualna Polska) oraz firma zarządzająca roku 2015.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tsprint.group/index.html" TargetMode="External"/><Relationship Id="rId8" Type="http://schemas.openxmlformats.org/officeDocument/2006/relationships/hyperlink" Target="http://www.dirlango.com/" TargetMode="External"/><Relationship Id="rId9" Type="http://schemas.openxmlformats.org/officeDocument/2006/relationships/hyperlink" Target="https://www.innovacap.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2025-12-22T18:01:46+01:00</dcterms:created>
  <dcterms:modified xsi:type="dcterms:W3CDTF">2025-12-22T18:01:46+01:00</dcterms:modified>
</cp:coreProperties>
</file>

<file path=docProps/custom.xml><?xml version="1.0" encoding="utf-8"?>
<Properties xmlns="http://schemas.openxmlformats.org/officeDocument/2006/custom-properties" xmlns:vt="http://schemas.openxmlformats.org/officeDocument/2006/docPropsVTypes"/>
</file>