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identyfikacja wizualna Grupy Netsprint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Netsprint wprowadza zmiany w swojej identyfikacji wizualnej. Metamorfoza dotyka wszystkich spółek należących do Grupy: LeadR, Email Network, Adrino, Netsprint SA, WayToGrow, Whitepress, DataTech Advisory.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Odświeżenie wizerunku najbardziej widoczne jest jednak w przypadku Grupy Netsprint, która zyskała nowy </w:t>
      </w:r>
      <w:r>
        <w:rPr>
          <w:rFonts w:ascii="calibri" w:hAnsi="calibri" w:eastAsia="calibri" w:cs="calibri"/>
          <w:sz w:val="24"/>
          <w:szCs w:val="24"/>
          <w:b/>
        </w:rPr>
        <w:t xml:space="preserve">logotyp i odświeżony język komunikacji wizualnej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identyfikacji wizualnej postawiono na dwa kolory: granat i miętę. Będą one wykorzystywane przez spółki należące do grupy, ale w takim zakresie, aby nie dominowały nad poszczególnymi brandami. W komunikacji grupy wprowadzono hasło "</w:t>
      </w:r>
      <w:r>
        <w:rPr>
          <w:rFonts w:ascii="calibri" w:hAnsi="calibri" w:eastAsia="calibri" w:cs="calibri"/>
          <w:sz w:val="24"/>
          <w:szCs w:val="24"/>
          <w:b/>
        </w:rPr>
        <w:t xml:space="preserve">House of Data</w:t>
      </w:r>
      <w:r>
        <w:rPr>
          <w:rFonts w:ascii="calibri" w:hAnsi="calibri" w:eastAsia="calibri" w:cs="calibri"/>
          <w:sz w:val="24"/>
          <w:szCs w:val="24"/>
        </w:rPr>
        <w:t xml:space="preserve">". Wraz z tymi elementami Grupa Netsprint przedstawiła zupełnie nową stronę internetową.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Wprowadzenie nowej identyfikacji to konsekwencja zakończenia restrukturyzacji Grupy. Chcemy, aby zakres naszych kompetencji był jasny dla każdego: zajmujemy się data-driven marketingiem, jesteśmy ekspertami od analizy i wykorzystania danych. Teraz ten przekaz jest bardziej przejrzysty – mówi Tomasz Boguszewicz, communication manager Grupy Netsprint.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2026-10-27T12:21:54+01:00</dcterms:created>
  <dcterms:modified xsi:type="dcterms:W3CDTF">2026-10-27T12:21:54+01:00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