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Grupy Netsprint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 wprowadza zmiany w swojej identyfikacji wizualnej. Metamorfoza dotyka wszystkich spółek należących do Grupy: LeadR, Email Network, Adrino, Netsprint SA, WayToGrow, Whitepress, DataTech Advisory.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Odświeżenie wizerunku najbardziej widoczne jest jednak w przypadku Grupy Netsprint, która zyskała nowy </w:t>
      </w:r>
      <w:r>
        <w:rPr>
          <w:rFonts w:ascii="calibri" w:hAnsi="calibri" w:eastAsia="calibri" w:cs="calibri"/>
          <w:sz w:val="24"/>
          <w:szCs w:val="24"/>
          <w:b/>
        </w:rPr>
        <w:t xml:space="preserve">logotyp i odświeżony język komunikacji wizualnej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identyfikacji wizualnej postawiono na dwa kolory: granat i miętę. Będą one wykorzystywane przez spółki należące do grupy, ale w takim zakresie, aby nie dominowały nad poszczególnymi brandami. W komunikacji grupy wprowadzono hasło "</w:t>
      </w:r>
      <w:r>
        <w:rPr>
          <w:rFonts w:ascii="calibri" w:hAnsi="calibri" w:eastAsia="calibri" w:cs="calibri"/>
          <w:sz w:val="24"/>
          <w:szCs w:val="24"/>
          <w:b/>
        </w:rPr>
        <w:t xml:space="preserve">House of Data</w:t>
      </w:r>
      <w:r>
        <w:rPr>
          <w:rFonts w:ascii="calibri" w:hAnsi="calibri" w:eastAsia="calibri" w:cs="calibri"/>
          <w:sz w:val="24"/>
          <w:szCs w:val="24"/>
        </w:rPr>
        <w:t xml:space="preserve">". Wraz z tymi elementami Grupa Netsprint przedstawiła zupełnie nową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nowej identyfikacji to konsekwencja zakończenia restrukturyzacji Grupy. Chcemy, aby zakres naszych kompetencji był jasny dla każdego: zajmujemy się data-driven marketingiem, jesteśmy ekspertami od analizy i wykorzystania danych. Teraz ten przekaz jest bardziej przejrzysty – mówi Tomasz Boguszewicz, communication manager Grupy Netsprint.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2026-05-31T20:31:28+02:00</dcterms:created>
  <dcterms:modified xsi:type="dcterms:W3CDTF">2026-05-31T20:31:28+02:00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